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4" w:before="0" w:after="0"/>
        <w:rPr>
          <w:rFonts w:ascii="Calibri" w:hAnsi="Calibri" w:eastAsia="Calibri" w:cs="Calibri"/>
          <w:b/>
          <w:b/>
        </w:rPr>
      </w:pPr>
      <w:r>
        <w:rPr/>
        <w:drawing>
          <wp:inline distT="0" distB="0" distL="0" distR="0">
            <wp:extent cx="1604645" cy="577215"/>
            <wp:effectExtent l="0" t="0" r="0" b="0"/>
            <wp:docPr id="1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age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Calibri" w:hAnsi="Calibri"/>
          <w:b/>
        </w:rPr>
        <w:t xml:space="preserve">  </w:t>
      </w:r>
    </w:p>
    <w:p>
      <w:pPr>
        <w:pStyle w:val="Normal"/>
        <w:spacing w:lineRule="auto" w:line="254" w:before="0" w:after="0"/>
        <w:jc w:val="center"/>
        <w:rPr>
          <w:rFonts w:ascii="Calibri" w:hAnsi="Calibri" w:eastAsia="Calibri" w:cs="Calibri"/>
          <w:b/>
          <w:b/>
          <w:sz w:val="36"/>
          <w:szCs w:val="36"/>
        </w:rPr>
      </w:pPr>
      <w:r>
        <w:rPr>
          <w:rFonts w:eastAsia="Calibri" w:cs="Calibri" w:ascii="Calibri" w:hAnsi="Calibri"/>
          <w:b/>
          <w:sz w:val="36"/>
          <w:szCs w:val="36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 w:ascii="Calibri" w:hAnsi="Calibri"/>
          <w:b/>
          <w:sz w:val="32"/>
          <w:szCs w:val="32"/>
        </w:rPr>
        <w:t>Z dodavatele softwaru technologický holding. eMan hlásí rekordní obrat 259 milionů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i/>
        </w:rPr>
        <w:t>Praha, 15. března</w:t>
      </w:r>
      <w:r>
        <w:rPr>
          <w:rFonts w:eastAsia="Calibri" w:cs="Calibri" w:ascii="Calibri" w:hAnsi="Calibri"/>
          <w:b/>
        </w:rPr>
        <w:t xml:space="preserve"> – Pražský softwarový dům eMan i navzdory ekonomické situaci sklízí v posledních letech velké úspěchy. Po úspěšném zalistování na </w:t>
      </w:r>
      <w:r>
        <w:rPr>
          <w:rFonts w:eastAsia="Calibri" w:cs="Calibri" w:ascii="Calibri" w:hAnsi="Calibri"/>
          <w:b/>
        </w:rPr>
        <w:t>p</w:t>
      </w:r>
      <w:r>
        <w:rPr>
          <w:rFonts w:eastAsia="Calibri" w:cs="Calibri" w:ascii="Calibri" w:hAnsi="Calibri"/>
          <w:b/>
        </w:rPr>
        <w:t xml:space="preserve">ražskou burzu Start se </w:t>
      </w:r>
      <w:r>
        <w:rPr>
          <w:rFonts w:eastAsia="Calibri" w:cs="Calibri" w:ascii="Calibri" w:hAnsi="Calibri"/>
          <w:b/>
        </w:rPr>
        <w:t>jim</w:t>
      </w:r>
      <w:r>
        <w:rPr>
          <w:rFonts w:eastAsia="Calibri" w:cs="Calibri" w:ascii="Calibri" w:hAnsi="Calibri"/>
          <w:b/>
        </w:rPr>
        <w:t xml:space="preserve"> podařilo založit řadu dceřiných společností, a tak se pomalu stát z vývojářské společnosti technologickým holdingem.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(VNITŘNÍ INFORMACE)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color w:val="000000"/>
        </w:rPr>
        <w:t xml:space="preserve">Růst společnosti eMan se nezastavil ani loni. Podle předběžných hospodářských výsledků za rok 2022 </w:t>
      </w:r>
      <w:r>
        <w:rPr>
          <w:rFonts w:eastAsia="Calibri" w:cs="Calibri" w:ascii="Calibri" w:hAnsi="Calibri"/>
          <w:color w:val="000000"/>
        </w:rPr>
        <w:t>dosáhl</w:t>
      </w:r>
      <w:r>
        <w:rPr>
          <w:rFonts w:eastAsia="Calibri" w:cs="Calibri" w:ascii="Calibri" w:hAnsi="Calibri"/>
          <w:color w:val="000000"/>
        </w:rPr>
        <w:t xml:space="preserve"> obrat společnosti rekordní </w:t>
      </w:r>
      <w:r>
        <w:rPr>
          <w:rFonts w:eastAsia="Calibri" w:cs="Calibri" w:ascii="Calibri" w:hAnsi="Calibri"/>
        </w:rPr>
        <w:t>výše</w:t>
      </w:r>
      <w:r>
        <w:rPr>
          <w:rFonts w:eastAsia="Calibri" w:cs="Calibri" w:ascii="Calibri" w:hAnsi="Calibri"/>
          <w:color w:val="000000"/>
        </w:rPr>
        <w:t xml:space="preserve"> 258,6 milion</w:t>
      </w:r>
      <w:r>
        <w:rPr>
          <w:rFonts w:eastAsia="Calibri" w:cs="Calibri" w:ascii="Calibri" w:hAnsi="Calibri"/>
          <w:color w:val="000000"/>
        </w:rPr>
        <w:t>u</w:t>
      </w:r>
      <w:r>
        <w:rPr>
          <w:rFonts w:eastAsia="Calibri" w:cs="Calibri" w:ascii="Calibri" w:hAnsi="Calibri"/>
          <w:color w:val="000000"/>
        </w:rPr>
        <w:t xml:space="preserve"> korun, a </w:t>
      </w:r>
      <w:r>
        <w:rPr>
          <w:rFonts w:eastAsia="Calibri" w:cs="Calibri" w:ascii="Calibri" w:hAnsi="Calibri"/>
          <w:color w:val="000000"/>
        </w:rPr>
        <w:t>tím pádem i</w:t>
      </w:r>
      <w:r>
        <w:rPr>
          <w:rFonts w:eastAsia="Calibri" w:cs="Calibri" w:ascii="Calibri" w:hAnsi="Calibri"/>
          <w:color w:val="000000"/>
        </w:rPr>
        <w:t xml:space="preserve"> plánovaného tempa růstu. Oproti roku 2021, kdy obrat </w:t>
      </w:r>
      <w:r>
        <w:rPr>
          <w:rFonts w:eastAsia="Calibri" w:cs="Calibri" w:ascii="Calibri" w:hAnsi="Calibri"/>
          <w:color w:val="000000"/>
        </w:rPr>
        <w:t>činil</w:t>
      </w:r>
      <w:r>
        <w:rPr>
          <w:rFonts w:eastAsia="Calibri" w:cs="Calibri" w:ascii="Calibri" w:hAnsi="Calibri"/>
          <w:color w:val="000000"/>
        </w:rPr>
        <w:t xml:space="preserve"> </w:t>
      </w:r>
      <w:r>
        <w:rPr>
          <w:rFonts w:eastAsia="Calibri" w:cs="Calibri" w:ascii="Calibri" w:hAnsi="Calibri"/>
        </w:rPr>
        <w:t>224,3</w:t>
      </w:r>
      <w:r>
        <w:rPr>
          <w:rFonts w:eastAsia="Calibri" w:cs="Calibri" w:ascii="Calibri" w:hAnsi="Calibri"/>
          <w:color w:val="000000"/>
        </w:rPr>
        <w:t xml:space="preserve"> milion</w:t>
      </w:r>
      <w:r>
        <w:rPr>
          <w:rFonts w:eastAsia="Calibri" w:cs="Calibri" w:ascii="Calibri" w:hAnsi="Calibri"/>
          <w:color w:val="000000"/>
        </w:rPr>
        <w:t>u</w:t>
      </w:r>
      <w:r>
        <w:rPr>
          <w:rFonts w:eastAsia="Calibri" w:cs="Calibri" w:ascii="Calibri" w:hAnsi="Calibri"/>
          <w:color w:val="000000"/>
        </w:rPr>
        <w:t xml:space="preserve"> korun, se jedná o více než 15procentní nárůst. Přičemž meziroční provozní zisk EBITDA byl v loňském roce 18 milionů korun a výsledek hospodaření před zdaněním činil 2,98 milion</w:t>
      </w:r>
      <w:r>
        <w:rPr>
          <w:rFonts w:eastAsia="Calibri" w:cs="Calibri" w:ascii="Calibri" w:hAnsi="Calibri"/>
          <w:color w:val="000000"/>
        </w:rPr>
        <w:t>u</w:t>
      </w:r>
      <w:r>
        <w:rPr>
          <w:rFonts w:eastAsia="Calibri" w:cs="Calibri" w:ascii="Calibri" w:hAnsi="Calibri"/>
          <w:color w:val="000000"/>
        </w:rPr>
        <w:t xml:space="preserve"> korun.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color w:val="000000"/>
        </w:rPr>
        <w:t>„</w:t>
      </w:r>
      <w:r>
        <w:rPr>
          <w:rFonts w:eastAsia="Calibri" w:cs="Calibri" w:ascii="Calibri" w:hAnsi="Calibri"/>
          <w:i/>
          <w:color w:val="000000"/>
        </w:rPr>
        <w:t xml:space="preserve">Jsem rád, že i přes řadu negativních faktorů, které ovlivňují naše každodenní životy a byznys, se nám daří růst. Zároveň </w:t>
      </w:r>
      <w:r>
        <w:rPr>
          <w:rFonts w:eastAsia="Calibri" w:cs="Calibri" w:ascii="Calibri" w:hAnsi="Calibri"/>
          <w:i/>
        </w:rPr>
        <w:t xml:space="preserve">jsme </w:t>
      </w:r>
      <w:r>
        <w:rPr>
          <w:rFonts w:eastAsia="Calibri" w:cs="Calibri" w:ascii="Calibri" w:hAnsi="Calibri"/>
          <w:i/>
          <w:color w:val="000000"/>
        </w:rPr>
        <w:t>naváza</w:t>
      </w:r>
      <w:r>
        <w:rPr>
          <w:rFonts w:eastAsia="Calibri" w:cs="Calibri" w:ascii="Calibri" w:hAnsi="Calibri"/>
          <w:i/>
        </w:rPr>
        <w:t>li</w:t>
      </w:r>
      <w:r>
        <w:rPr>
          <w:rFonts w:eastAsia="Calibri" w:cs="Calibri" w:ascii="Calibri" w:hAnsi="Calibri"/>
          <w:i/>
          <w:color w:val="000000"/>
        </w:rPr>
        <w:t xml:space="preserve"> řadu partnerství a díky tomu se můžeme podílet na mnoh</w:t>
      </w:r>
      <w:r>
        <w:rPr>
          <w:rFonts w:eastAsia="Calibri" w:cs="Calibri" w:ascii="Calibri" w:hAnsi="Calibri"/>
          <w:i/>
        </w:rPr>
        <w:t>a</w:t>
      </w:r>
      <w:r>
        <w:rPr>
          <w:rFonts w:eastAsia="Calibri" w:cs="Calibri" w:ascii="Calibri" w:hAnsi="Calibri"/>
          <w:i/>
          <w:color w:val="000000"/>
        </w:rPr>
        <w:t xml:space="preserve"> zajímavých projektech a vytvářet synergie napříč technologickým světem,“</w:t>
      </w:r>
      <w:r>
        <w:rPr>
          <w:rFonts w:eastAsia="Calibri" w:cs="Calibri" w:ascii="Calibri" w:hAnsi="Calibri"/>
          <w:color w:val="000000"/>
        </w:rPr>
        <w:t xml:space="preserve"> říká Michal Košek, CEO společnosti eMan.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/>
        <w:drawing>
          <wp:inline distT="0" distB="0" distL="0" distR="0">
            <wp:extent cx="5731510" cy="300990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</w:rPr>
        <w:t>Kromě toho</w:t>
      </w:r>
      <w:r>
        <w:rPr>
          <w:rFonts w:eastAsia="Calibri" w:cs="Calibri" w:ascii="Calibri" w:hAnsi="Calibri"/>
        </w:rPr>
        <w:t xml:space="preserve"> loňský rok pokořila společnost eMan hned několik milníků. Skrze kapitálové investice rozšířila své pole působení daleko za hranice „pouhého“ vývoje softwaru a mobilních aplikací, a pomalu se tak mění na plnohodnotný technologický holding.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</w:rPr>
        <w:t>Košek doplňuje:</w:t>
      </w:r>
      <w:r>
        <w:rPr>
          <w:rFonts w:eastAsia="Calibri" w:cs="Calibri" w:ascii="Calibri" w:hAnsi="Calibri"/>
          <w:i/>
        </w:rPr>
        <w:t xml:space="preserve"> „Součástí našich plánů pro budoucnost jsou také nové akvizice a diverzifikace našeho podnikání. Základem našeho úspěchu je několik velkých zákazníků jako Cendis, Škoda nebo ČSOB, ale my se samozřejmě snažíme jejich řady dále rozšiřovat. Pracujeme na budování technologického holdingu, který v současnosti obsahuje sedm firem. I to je jeden ze způsobů, jakým</w:t>
      </w:r>
      <w:r>
        <w:rPr>
          <w:rFonts w:eastAsia="Calibri" w:cs="Calibri" w:ascii="Calibri" w:hAnsi="Calibri"/>
          <w:i/>
        </w:rPr>
        <w:t>i</w:t>
      </w:r>
      <w:r>
        <w:rPr>
          <w:rFonts w:eastAsia="Calibri" w:cs="Calibri" w:ascii="Calibri" w:hAnsi="Calibri"/>
          <w:i/>
        </w:rPr>
        <w:t xml:space="preserve"> investujeme naše zisky zpět do rozvoje společnosti.“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Příští rok (také) ve znamení gamingu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</w:rPr>
        <w:t xml:space="preserve">Značný úspěch zaznamenala společnost také na poli gamingu, kde pod hlavičkou dceřiné společnosti Legend has it vyvíjí hru Realms of Alterra, jejíž </w:t>
      </w:r>
      <w:r>
        <w:rPr>
          <w:rFonts w:eastAsia="Calibri" w:cs="Calibri" w:ascii="Calibri" w:hAnsi="Calibri"/>
        </w:rPr>
        <w:t>e</w:t>
      </w:r>
      <w:r>
        <w:rPr>
          <w:rFonts w:eastAsia="Calibri" w:cs="Calibri" w:ascii="Calibri" w:hAnsi="Calibri"/>
        </w:rPr>
        <w:t xml:space="preserve">arly </w:t>
      </w:r>
      <w:r>
        <w:rPr>
          <w:rFonts w:eastAsia="Calibri" w:cs="Calibri" w:ascii="Calibri" w:hAnsi="Calibri"/>
        </w:rPr>
        <w:t>a</w:t>
      </w:r>
      <w:r>
        <w:rPr>
          <w:rFonts w:eastAsia="Calibri" w:cs="Calibri" w:ascii="Calibri" w:hAnsi="Calibri"/>
        </w:rPr>
        <w:t>ccess přístup by měl být dostupný na Steamu v polovině tohoto roku. Na vývoji technologie Anigmation, která je součástí hry, spolupracují také s hongkongskou firmou Hanson Robotics, která stojí za vývojem slavného humanoidního robota Sophia. Právě tato technologie fungující na bázi umělé inteligence si klade za cíl změnit celé gamingové odvětví.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Společnost rozšiřuje také své aktivity za hranicemi, a to jak v rámci Evropy, tak USA, kde houstonská pobočka dosahuje značných úspěchů.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„</w:t>
      </w:r>
      <w:r>
        <w:rPr>
          <w:rFonts w:eastAsia="Calibri" w:cs="Calibri" w:ascii="Calibri" w:hAnsi="Calibri"/>
          <w:i/>
        </w:rPr>
        <w:t>Mezi cíle, které jsme v minulém roce splnili, patří úspěšná snaha o maximální efektivitu jak v produkci, tak i v ostatních aspektech naší činnosti. Podařilo se nám také úspěšně posilovat naši pozici v zahraničí, zejména pak v USA, kde máme i dceřinou společnost, ale také ve Velké Británii či Německu</w:t>
      </w:r>
      <w:r>
        <w:rPr>
          <w:rFonts w:eastAsia="Calibri" w:cs="Calibri" w:ascii="Calibri" w:hAnsi="Calibri"/>
        </w:rPr>
        <w:t>,“ říká Košek.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eMan má vlastní investiční fond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</w:rPr>
        <w:t xml:space="preserve">eMan letos oslaví již </w:t>
      </w:r>
      <w:r>
        <w:rPr>
          <w:rFonts w:eastAsia="Calibri" w:cs="Calibri" w:ascii="Calibri" w:hAnsi="Calibri"/>
        </w:rPr>
        <w:t>13 let</w:t>
      </w:r>
      <w:r>
        <w:rPr>
          <w:rFonts w:eastAsia="Calibri" w:cs="Calibri" w:ascii="Calibri" w:hAnsi="Calibri"/>
        </w:rPr>
        <w:t xml:space="preserve"> působení na trhu. Ve svých začátcích se softwarový dům specializoval primárně na vývoj mobilních aplikací pro klienty z oblasti pojišťovnictví a energetiky, pomalu </w:t>
      </w:r>
      <w:r>
        <w:rPr>
          <w:rFonts w:eastAsia="Calibri" w:cs="Calibri" w:ascii="Calibri" w:hAnsi="Calibri"/>
        </w:rPr>
        <w:t xml:space="preserve">přitom ale </w:t>
      </w:r>
      <w:r>
        <w:rPr>
          <w:rFonts w:eastAsia="Calibri" w:cs="Calibri" w:ascii="Calibri" w:hAnsi="Calibri"/>
        </w:rPr>
        <w:t xml:space="preserve">přecházel do segmentu automotive, který je dodnes významnou součástí klientského portfolia. Zlom nastal v roce 2020, kdy se při svém úpisu na pražskou burzu Start zapsala firma do historie. V té době se zasloužila o dosud nejúspěšnější IPO na tomto trhu – zájem investorů převýšil počet upsaných akcií o 111 procent.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</w:rPr>
        <w:t>Aby toho nebylo málo, o rok později se firma rozhodla podpořit úspěšné projekty, investovala do IoT společnosti Hardwario či založila venture kapitálový fond eMan Innovations. Skrze tento investiční fond i mimo něj napíná společnost eMan síly směrem k celé škále různorodých odvětví. V loňském roce například oznámila založení „pre-seed“ vehiklu Tasty Capital pro technologické projekty v rané fázi vývoje.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***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O společnosti eMan: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Společnost eMan je předním českým dodavatelem softwaru. Specializuje se na vývoj mobilních a webových aplikací a související služby, jako jsou UI/UX design, podpora a servis, outsourcing IT specialistů a poskytování konzultací. Zaměřuje se především na klienty z automobilového průmyslu, energetiky, bankovnictví, pojišťovnictví, průmyslu a služeb. Kvalitu námi vyvinutých řešení potvrzují desítky získaných ocenění. eMan působí v České republice a ve Spojených státech amerických. Od roku 2020 jsou akcie společnosti volně obchodovány na trhu PX Start na Burze cenných papírů Praha </w:t>
      </w:r>
      <w:r>
        <w:rPr>
          <w:rFonts w:eastAsia="Calibri" w:cs="Calibri" w:ascii="Calibri" w:hAnsi="Calibri"/>
          <w:sz w:val="20"/>
          <w:szCs w:val="20"/>
        </w:rPr>
        <w:t>a</w:t>
      </w:r>
      <w:r>
        <w:rPr>
          <w:rFonts w:eastAsia="Calibri" w:cs="Calibri" w:ascii="Calibri" w:hAnsi="Calibri"/>
          <w:sz w:val="20"/>
          <w:szCs w:val="20"/>
        </w:rPr>
        <w:t xml:space="preserve"> na burze RM-Systém, kterou provozuje Fio banka.</w:t>
      </w:r>
    </w:p>
    <w:p>
      <w:pPr>
        <w:pStyle w:val="Normal"/>
        <w:spacing w:lineRule="auto" w:line="254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54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54" w:before="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Kontakt pro média:</w:t>
      </w:r>
    </w:p>
    <w:p>
      <w:pPr>
        <w:pStyle w:val="Normal"/>
        <w:spacing w:lineRule="auto" w:line="254" w:before="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54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Nicole Baronová</w:t>
      </w:r>
    </w:p>
    <w:p>
      <w:pPr>
        <w:pStyle w:val="Normal"/>
        <w:spacing w:lineRule="auto" w:line="254" w:before="0" w:after="0"/>
        <w:jc w:val="both"/>
        <w:rPr/>
      </w:pPr>
      <w:hyperlink r:id="rId4">
        <w:r>
          <w:rPr>
            <w:rStyle w:val="ListLabel1"/>
            <w:rFonts w:eastAsia="Calibri" w:cs="Calibri" w:ascii="Calibri" w:hAnsi="Calibri"/>
            <w:color w:val="1155CC"/>
            <w:u w:val="single" w:color="000000"/>
          </w:rPr>
          <w:t>nicole.baronova@abbba.cz</w:t>
        </w:r>
      </w:hyperlink>
      <w:r>
        <w:rPr>
          <w:rFonts w:eastAsia="Calibri" w:cs="Calibri" w:ascii="Calibri" w:hAnsi="Calibri"/>
        </w:rPr>
        <w:t xml:space="preserve">  </w:t>
      </w:r>
    </w:p>
    <w:p>
      <w:pPr>
        <w:pStyle w:val="Normal"/>
        <w:spacing w:lineRule="auto" w:line="254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+420 776 204 565</w:t>
      </w:r>
    </w:p>
    <w:p>
      <w:pPr>
        <w:pStyle w:val="Normal"/>
        <w:spacing w:lineRule="auto" w:line="254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ABBBA Consulting, s.r.o.</w:t>
      </w:r>
    </w:p>
    <w:p>
      <w:pPr>
        <w:pStyle w:val="Normal"/>
        <w:spacing w:lineRule="auto" w:line="254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54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Alena Burešová</w:t>
      </w:r>
    </w:p>
    <w:p>
      <w:pPr>
        <w:pStyle w:val="Normal"/>
        <w:spacing w:lineRule="auto" w:line="254" w:before="0" w:after="0"/>
        <w:jc w:val="both"/>
        <w:rPr/>
      </w:pPr>
      <w:hyperlink r:id="rId5">
        <w:r>
          <w:rPr>
            <w:rStyle w:val="ListLabel1"/>
            <w:rFonts w:eastAsia="Calibri" w:cs="Calibri" w:ascii="Calibri" w:hAnsi="Calibri"/>
            <w:color w:val="1155CC"/>
            <w:u w:val="single" w:color="000000"/>
          </w:rPr>
          <w:t>alena.</w:t>
        </w:r>
      </w:hyperlink>
      <w:hyperlink r:id="rId6">
        <w:r>
          <w:rPr>
            <w:rStyle w:val="ListLabel1"/>
            <w:rFonts w:eastAsia="Calibri" w:cs="Calibri" w:ascii="Calibri" w:hAnsi="Calibri"/>
            <w:color w:val="1155CC"/>
            <w:u w:val="single" w:color="000000"/>
          </w:rPr>
          <w:t>buresova</w:t>
        </w:r>
      </w:hyperlink>
      <w:hyperlink r:id="rId7">
        <w:r>
          <w:rPr>
            <w:rStyle w:val="ListLabel1"/>
            <w:rFonts w:eastAsia="Calibri" w:cs="Calibri" w:ascii="Calibri" w:hAnsi="Calibri"/>
            <w:color w:val="1155CC"/>
            <w:u w:val="single" w:color="000000"/>
          </w:rPr>
          <w:t>@abbba.cz</w:t>
        </w:r>
      </w:hyperlink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54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+420 775 983 842</w:t>
      </w:r>
    </w:p>
    <w:p>
      <w:pPr>
        <w:pStyle w:val="Normal"/>
        <w:spacing w:lineRule="auto" w:line="254" w:before="0" w:after="0"/>
        <w:jc w:val="both"/>
        <w:rPr/>
      </w:pPr>
      <w:r>
        <w:rPr>
          <w:rFonts w:eastAsia="Calibri" w:cs="Calibri" w:ascii="Calibri" w:hAnsi="Calibri"/>
        </w:rPr>
        <w:t>ABBBA Consulting, s.r.o.</w:t>
      </w:r>
    </w:p>
    <w:sectPr>
      <w:headerReference w:type="default" r:id="rId8"/>
      <w:footerReference w:type="default" r:id="rId9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right" w:pos="9020" w:leader="none"/>
      </w:tabs>
      <w:spacing w:lineRule="auto" w:line="240" w:before="0" w:after="0"/>
      <w:rPr>
        <w:rFonts w:ascii="Helvetica Neue" w:hAnsi="Helvetica Neue" w:eastAsia="Helvetica Neue" w:cs="Helvetica Neue"/>
        <w:sz w:val="24"/>
        <w:szCs w:val="24"/>
      </w:rPr>
    </w:pPr>
    <w:r>
      <w:rPr>
        <w:rFonts w:eastAsia="Helvetica Neue" w:cs="Helvetica Neue" w:ascii="Helvetica Neue" w:hAnsi="Helvetica Neue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right" w:pos="9020" w:leader="none"/>
      </w:tabs>
      <w:spacing w:lineRule="auto" w:line="240" w:before="0" w:after="0"/>
      <w:rPr>
        <w:rFonts w:ascii="Helvetica Neue" w:hAnsi="Helvetica Neue" w:eastAsia="Helvetica Neue" w:cs="Helvetica Neue"/>
        <w:sz w:val="24"/>
        <w:szCs w:val="24"/>
      </w:rPr>
    </w:pPr>
    <w:r>
      <w:rPr>
        <w:rFonts w:eastAsia="Helvetica Neue" w:cs="Helvetica Neue" w:ascii="Helvetica Neue" w:hAnsi="Helvetica Neue"/>
        <w:sz w:val="24"/>
        <w:szCs w:val="24"/>
      </w:rP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-14605</wp:posOffset>
              </wp:positionH>
              <wp:positionV relativeFrom="page">
                <wp:posOffset>-14605</wp:posOffset>
              </wp:positionV>
              <wp:extent cx="7585710" cy="10722610"/>
              <wp:effectExtent l="0" t="0" r="0" b="0"/>
              <wp:wrapNone/>
              <wp:docPr id="3" name="Obrázek1" descr="Obdélník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5200" cy="1072188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settings.xml><?xml version="1.0" encoding="utf-8"?>
<w:settings xmlns:w="http://schemas.openxmlformats.org/wordprocessingml/2006/main">
  <w:zoom w:percent="18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cs="Arial Unicode MS" w:ascii="Arial" w:hAnsi="Arial" w:eastAsia="Arial"/>
      <w:color w:val="000000"/>
      <w:kern w:val="0"/>
      <w:sz w:val="22"/>
      <w:szCs w:val="22"/>
      <w:u w:val="none" w:color="000000"/>
      <w:lang w:val="cs-CZ" w:eastAsia="zh-CN" w:bidi="hi-IN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b751e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8b751e"/>
    <w:rPr>
      <w:rFonts w:ascii="Arial" w:hAnsi="Arial" w:cs="Arial Unicode MS"/>
      <w:color w:val="000000"/>
      <w:u w:val="none" w:color="00000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8b751e"/>
    <w:rPr>
      <w:rFonts w:ascii="Arial" w:hAnsi="Arial" w:cs="Arial Unicode MS"/>
      <w:b/>
      <w:bCs/>
      <w:color w:val="000000"/>
      <w:u w:val="none" w:color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05db7"/>
    <w:rPr>
      <w:color w:val="605E5C"/>
      <w:shd w:fill="E1DFDD" w:val="clear"/>
    </w:rPr>
  </w:style>
  <w:style w:type="character" w:styleId="ListLabel1">
    <w:name w:val="ListLabel 1"/>
    <w:qFormat/>
    <w:rPr>
      <w:rFonts w:ascii="Calibri" w:hAnsi="Calibri" w:eastAsia="Calibri" w:cs="Calibri"/>
      <w:color w:val="1155CC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Zhlavazpat" w:customStyle="1">
    <w:name w:val="Záhlaví a zápatí"/>
    <w:qFormat/>
    <w:pPr>
      <w:widowControl/>
      <w:tabs>
        <w:tab w:val="clear" w:pos="720"/>
        <w:tab w:val="right" w:pos="9020" w:leader="none"/>
      </w:tabs>
      <w:bidi w:val="0"/>
      <w:jc w:val="left"/>
    </w:pPr>
    <w:rPr>
      <w:rFonts w:ascii="Helvetica Neue" w:hAnsi="Helvetica Neue" w:cs="Arial Unicode MS" w:eastAsia="Arial"/>
      <w:color w:val="000000"/>
      <w:kern w:val="0"/>
      <w:sz w:val="24"/>
      <w:szCs w:val="24"/>
      <w:lang w:val="cs-CZ" w:eastAsia="zh-CN" w:bidi="hi-IN"/>
      <w14:textOutline w14:cap="flat" w14:cmpd="sng" w14:algn="ctr">
        <w14:noFill/>
        <w14:prstDash w14:val="solid"/>
        <w14:bevel/>
      </w14:textOutline>
    </w:rPr>
  </w:style>
  <w:style w:type="paragraph" w:styleId="Revision">
    <w:name w:val="Revision"/>
    <w:uiPriority w:val="99"/>
    <w:semiHidden/>
    <w:qFormat/>
    <w:rsid w:val="008b751e"/>
    <w:pPr>
      <w:widowControl/>
      <w:bidi w:val="0"/>
      <w:jc w:val="left"/>
    </w:pPr>
    <w:rPr>
      <w:rFonts w:cs="Arial Unicode MS" w:ascii="Arial" w:hAnsi="Arial" w:eastAsia="Arial"/>
      <w:color w:val="000000"/>
      <w:kern w:val="0"/>
      <w:sz w:val="22"/>
      <w:szCs w:val="22"/>
      <w:u w:val="none" w:color="000000"/>
      <w:lang w:val="cs-CZ" w:eastAsia="zh-CN" w:bidi="hi-IN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b751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8b751e"/>
    <w:pPr/>
    <w:rPr>
      <w:b/>
      <w:bCs/>
    </w:rPr>
  </w:style>
  <w:style w:type="paragraph" w:styleId="Podtitul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">
    <w:name w:val="Header"/>
    <w:basedOn w:val="Normal"/>
    <w:pPr/>
    <w:rPr/>
  </w:style>
  <w:style w:type="paragraph" w:styleId="Obsahrmce">
    <w:name w:val="Obsah rámce"/>
    <w:basedOn w:val="Normal"/>
    <w:qFormat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nicole.baronova@abbba.cz" TargetMode="External"/><Relationship Id="rId5" Type="http://schemas.openxmlformats.org/officeDocument/2006/relationships/hyperlink" Target="mailto:alena.buresova@abbba.cz" TargetMode="External"/><Relationship Id="rId6" Type="http://schemas.openxmlformats.org/officeDocument/2006/relationships/hyperlink" Target="mailto:alena.buresova@abbba.cz" TargetMode="External"/><Relationship Id="rId7" Type="http://schemas.openxmlformats.org/officeDocument/2006/relationships/hyperlink" Target="mailto:alena.buresova@abbba.cz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XMYdicsjwKvynezQNhrJnWt1xoA==">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LibreOffice/6.1.3.2$Windows_X86_64 LibreOffice_project/86daf60bf00efa86ad547e59e09d6bb77c699acb</Application>
  <Pages>3</Pages>
  <Words>675</Words>
  <Characters>3925</Characters>
  <CharactersWithSpaces>4585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2023-03-10T09:09:00Z</dcterms:created>
  <dc:creator/>
  <dc:description/>
  <dc:language>cs-CZ</dc:language>
  <cp:lastModifiedBy/>
  <dcterms:modified xsi:type="dcterms:W3CDTF">2023-03-15T10:27:04Z</dcterms:modified>
  <cp:revision>3</cp:revision>
  <dc:subject/>
  <dc:title/>
</cp:coreProperties>
</file>